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40097" w14:textId="14645FF6" w:rsidR="00C2055E" w:rsidRDefault="00927FC8" w:rsidP="00927FC8">
      <w:pPr>
        <w:jc w:val="center"/>
        <w:rPr>
          <w:rFonts w:ascii="Arial" w:hAnsi="Arial" w:cs="Arial"/>
          <w:b/>
          <w:bCs/>
        </w:rPr>
      </w:pPr>
      <w:r>
        <w:rPr>
          <w:rFonts w:ascii="Arial" w:hAnsi="Arial" w:cs="Arial"/>
          <w:b/>
          <w:bCs/>
        </w:rPr>
        <w:t>SUPERINTENDENCIA DE SUBSIDIO FAMILIAR</w:t>
      </w:r>
    </w:p>
    <w:p w14:paraId="29601D20" w14:textId="59F499DA" w:rsidR="00927FC8" w:rsidRDefault="00927FC8" w:rsidP="00927FC8">
      <w:pPr>
        <w:jc w:val="center"/>
        <w:rPr>
          <w:rFonts w:ascii="Arial" w:hAnsi="Arial" w:cs="Arial"/>
          <w:b/>
          <w:bCs/>
        </w:rPr>
      </w:pPr>
      <w:r>
        <w:rPr>
          <w:rFonts w:ascii="Arial" w:hAnsi="Arial" w:cs="Arial"/>
          <w:b/>
          <w:bCs/>
        </w:rPr>
        <w:t xml:space="preserve">Superintendencia </w:t>
      </w:r>
      <w:proofErr w:type="gramStart"/>
      <w:r>
        <w:rPr>
          <w:rFonts w:ascii="Arial" w:hAnsi="Arial" w:cs="Arial"/>
          <w:b/>
          <w:bCs/>
        </w:rPr>
        <w:t>Delegada</w:t>
      </w:r>
      <w:proofErr w:type="gramEnd"/>
      <w:r>
        <w:rPr>
          <w:rFonts w:ascii="Arial" w:hAnsi="Arial" w:cs="Arial"/>
          <w:b/>
          <w:bCs/>
        </w:rPr>
        <w:t xml:space="preserve"> para Estudios Especiales y Evaluación de Proyectos</w:t>
      </w:r>
    </w:p>
    <w:p w14:paraId="1950DD34" w14:textId="77777777" w:rsidR="00927FC8" w:rsidRDefault="00927FC8" w:rsidP="00927FC8">
      <w:pPr>
        <w:jc w:val="center"/>
        <w:rPr>
          <w:rFonts w:ascii="Arial" w:hAnsi="Arial" w:cs="Arial"/>
          <w:b/>
          <w:bCs/>
        </w:rPr>
      </w:pPr>
    </w:p>
    <w:p w14:paraId="7412255E" w14:textId="77777777" w:rsidR="00927FC8" w:rsidRDefault="00927FC8" w:rsidP="00927FC8">
      <w:pPr>
        <w:jc w:val="center"/>
        <w:rPr>
          <w:rFonts w:ascii="Arial" w:hAnsi="Arial" w:cs="Arial"/>
          <w:b/>
          <w:bCs/>
        </w:rPr>
      </w:pPr>
    </w:p>
    <w:p w14:paraId="5B33FC82" w14:textId="77777777" w:rsidR="00927FC8" w:rsidRDefault="00927FC8" w:rsidP="00927FC8">
      <w:pPr>
        <w:jc w:val="center"/>
        <w:rPr>
          <w:rFonts w:ascii="Arial" w:hAnsi="Arial" w:cs="Arial"/>
          <w:b/>
          <w:bCs/>
        </w:rPr>
      </w:pPr>
    </w:p>
    <w:p w14:paraId="1AB7259A" w14:textId="77777777" w:rsidR="00927FC8" w:rsidRDefault="00927FC8" w:rsidP="00927FC8">
      <w:pPr>
        <w:jc w:val="center"/>
        <w:rPr>
          <w:rFonts w:ascii="Arial" w:hAnsi="Arial" w:cs="Arial"/>
          <w:b/>
          <w:bCs/>
        </w:rPr>
      </w:pPr>
    </w:p>
    <w:p w14:paraId="13500710" w14:textId="77777777" w:rsidR="00927FC8" w:rsidRDefault="00927FC8" w:rsidP="00927FC8">
      <w:pPr>
        <w:jc w:val="center"/>
        <w:rPr>
          <w:rFonts w:ascii="Arial" w:hAnsi="Arial" w:cs="Arial"/>
          <w:b/>
          <w:bCs/>
        </w:rPr>
      </w:pPr>
    </w:p>
    <w:p w14:paraId="263BF1B1" w14:textId="77777777" w:rsidR="00927FC8" w:rsidRDefault="00927FC8" w:rsidP="00927FC8">
      <w:pPr>
        <w:jc w:val="center"/>
        <w:rPr>
          <w:rFonts w:ascii="Arial" w:hAnsi="Arial" w:cs="Arial"/>
          <w:b/>
          <w:bCs/>
        </w:rPr>
      </w:pPr>
    </w:p>
    <w:p w14:paraId="0DB1BC65" w14:textId="2F0AFFA8" w:rsidR="00927FC8" w:rsidRDefault="00927FC8" w:rsidP="00927FC8">
      <w:pPr>
        <w:jc w:val="center"/>
        <w:rPr>
          <w:rFonts w:ascii="Arial" w:hAnsi="Arial" w:cs="Arial"/>
          <w:b/>
          <w:bCs/>
        </w:rPr>
      </w:pPr>
      <w:r>
        <w:rPr>
          <w:rFonts w:ascii="Arial" w:hAnsi="Arial" w:cs="Arial"/>
          <w:b/>
          <w:bCs/>
        </w:rPr>
        <w:t>EVALUACIÓN DEL IMPACTO TERRITORIAL DE LOS SUBSIDIOS DE VIVIENDA EN EL TOLIMA: CASO CAJAS DE COMPENSACIÓN (2022 – 2023)</w:t>
      </w:r>
    </w:p>
    <w:p w14:paraId="12EB6CEA" w14:textId="77777777" w:rsidR="00927FC8" w:rsidRDefault="00927FC8" w:rsidP="00927FC8">
      <w:pPr>
        <w:jc w:val="center"/>
        <w:rPr>
          <w:rFonts w:ascii="Arial" w:hAnsi="Arial" w:cs="Arial"/>
          <w:b/>
          <w:bCs/>
        </w:rPr>
      </w:pPr>
    </w:p>
    <w:p w14:paraId="4EA9F7CA" w14:textId="77777777" w:rsidR="00927FC8" w:rsidRDefault="00927FC8" w:rsidP="00927FC8">
      <w:pPr>
        <w:jc w:val="center"/>
        <w:rPr>
          <w:rFonts w:ascii="Arial" w:hAnsi="Arial" w:cs="Arial"/>
          <w:b/>
          <w:bCs/>
        </w:rPr>
      </w:pPr>
    </w:p>
    <w:p w14:paraId="692482FF" w14:textId="77777777" w:rsidR="00927FC8" w:rsidRDefault="00927FC8" w:rsidP="00927FC8">
      <w:pPr>
        <w:jc w:val="center"/>
        <w:rPr>
          <w:rFonts w:ascii="Arial" w:hAnsi="Arial" w:cs="Arial"/>
          <w:b/>
          <w:bCs/>
        </w:rPr>
      </w:pPr>
    </w:p>
    <w:p w14:paraId="44688DEA" w14:textId="77777777" w:rsidR="00927FC8" w:rsidRDefault="00927FC8" w:rsidP="00927FC8">
      <w:pPr>
        <w:jc w:val="center"/>
        <w:rPr>
          <w:rFonts w:ascii="Arial" w:hAnsi="Arial" w:cs="Arial"/>
          <w:b/>
          <w:bCs/>
        </w:rPr>
      </w:pPr>
    </w:p>
    <w:p w14:paraId="13C3988F" w14:textId="77777777" w:rsidR="00927FC8" w:rsidRDefault="00927FC8" w:rsidP="00927FC8">
      <w:pPr>
        <w:jc w:val="center"/>
        <w:rPr>
          <w:rFonts w:ascii="Arial" w:hAnsi="Arial" w:cs="Arial"/>
          <w:b/>
          <w:bCs/>
        </w:rPr>
      </w:pPr>
    </w:p>
    <w:p w14:paraId="5E63D78A" w14:textId="77777777" w:rsidR="00927FC8" w:rsidRDefault="00927FC8" w:rsidP="00927FC8">
      <w:pPr>
        <w:jc w:val="center"/>
        <w:rPr>
          <w:rFonts w:ascii="Arial" w:hAnsi="Arial" w:cs="Arial"/>
          <w:b/>
          <w:bCs/>
        </w:rPr>
      </w:pPr>
    </w:p>
    <w:p w14:paraId="6894668A" w14:textId="203DC747" w:rsidR="00927FC8" w:rsidRDefault="00927FC8" w:rsidP="00927FC8">
      <w:pPr>
        <w:jc w:val="center"/>
        <w:rPr>
          <w:rFonts w:ascii="Arial" w:hAnsi="Arial" w:cs="Arial"/>
          <w:b/>
          <w:bCs/>
        </w:rPr>
      </w:pPr>
      <w:r>
        <w:rPr>
          <w:rFonts w:ascii="Arial" w:hAnsi="Arial" w:cs="Arial"/>
          <w:b/>
          <w:bCs/>
        </w:rPr>
        <w:t>JUAN SEBASTIAN RINCON OSORIO</w:t>
      </w:r>
    </w:p>
    <w:p w14:paraId="57231EDF" w14:textId="77777777" w:rsidR="00927FC8" w:rsidRDefault="00927FC8" w:rsidP="00927FC8">
      <w:pPr>
        <w:jc w:val="center"/>
        <w:rPr>
          <w:rFonts w:ascii="Arial" w:hAnsi="Arial" w:cs="Arial"/>
          <w:b/>
          <w:bCs/>
        </w:rPr>
      </w:pPr>
    </w:p>
    <w:p w14:paraId="6B7E62C6" w14:textId="77777777" w:rsidR="00927FC8" w:rsidRDefault="00927FC8" w:rsidP="00927FC8">
      <w:pPr>
        <w:jc w:val="center"/>
        <w:rPr>
          <w:rFonts w:ascii="Arial" w:hAnsi="Arial" w:cs="Arial"/>
          <w:b/>
          <w:bCs/>
        </w:rPr>
      </w:pPr>
    </w:p>
    <w:p w14:paraId="4F079E74" w14:textId="77777777" w:rsidR="00927FC8" w:rsidRDefault="00927FC8" w:rsidP="00927FC8">
      <w:pPr>
        <w:jc w:val="center"/>
        <w:rPr>
          <w:rFonts w:ascii="Arial" w:hAnsi="Arial" w:cs="Arial"/>
          <w:b/>
          <w:bCs/>
        </w:rPr>
      </w:pPr>
    </w:p>
    <w:p w14:paraId="32F0FCF4" w14:textId="77777777" w:rsidR="00927FC8" w:rsidRDefault="00927FC8" w:rsidP="00927FC8">
      <w:pPr>
        <w:jc w:val="center"/>
        <w:rPr>
          <w:rFonts w:ascii="Arial" w:hAnsi="Arial" w:cs="Arial"/>
          <w:b/>
          <w:bCs/>
        </w:rPr>
      </w:pPr>
    </w:p>
    <w:p w14:paraId="01BBDE69" w14:textId="77777777" w:rsidR="00927FC8" w:rsidRDefault="00927FC8" w:rsidP="00927FC8">
      <w:pPr>
        <w:jc w:val="center"/>
        <w:rPr>
          <w:rFonts w:ascii="Arial" w:hAnsi="Arial" w:cs="Arial"/>
          <w:b/>
          <w:bCs/>
        </w:rPr>
      </w:pPr>
    </w:p>
    <w:p w14:paraId="5D51D255" w14:textId="77777777" w:rsidR="00927FC8" w:rsidRDefault="00927FC8" w:rsidP="00927FC8">
      <w:pPr>
        <w:jc w:val="center"/>
        <w:rPr>
          <w:rFonts w:ascii="Arial" w:hAnsi="Arial" w:cs="Arial"/>
          <w:b/>
          <w:bCs/>
        </w:rPr>
      </w:pPr>
    </w:p>
    <w:p w14:paraId="0DE8444F" w14:textId="46B8B63D" w:rsidR="00927FC8" w:rsidRDefault="00927FC8" w:rsidP="00927FC8">
      <w:pPr>
        <w:jc w:val="center"/>
        <w:rPr>
          <w:rFonts w:ascii="Arial" w:hAnsi="Arial" w:cs="Arial"/>
          <w:b/>
          <w:bCs/>
        </w:rPr>
      </w:pPr>
      <w:r>
        <w:rPr>
          <w:rFonts w:ascii="Arial" w:hAnsi="Arial" w:cs="Arial"/>
          <w:b/>
          <w:bCs/>
        </w:rPr>
        <w:t>EDDIER ANTONIO BURITICA CARDONA</w:t>
      </w:r>
    </w:p>
    <w:p w14:paraId="6733E5E0" w14:textId="77777777" w:rsidR="00927FC8" w:rsidRDefault="00927FC8" w:rsidP="00927FC8">
      <w:pPr>
        <w:jc w:val="center"/>
        <w:rPr>
          <w:rFonts w:ascii="Arial" w:hAnsi="Arial" w:cs="Arial"/>
          <w:b/>
          <w:bCs/>
        </w:rPr>
      </w:pPr>
    </w:p>
    <w:p w14:paraId="38C33941" w14:textId="77777777" w:rsidR="00927FC8" w:rsidRDefault="00927FC8" w:rsidP="00927FC8">
      <w:pPr>
        <w:jc w:val="center"/>
        <w:rPr>
          <w:rFonts w:ascii="Arial" w:hAnsi="Arial" w:cs="Arial"/>
          <w:b/>
          <w:bCs/>
        </w:rPr>
      </w:pPr>
    </w:p>
    <w:p w14:paraId="0439C56A" w14:textId="77777777" w:rsidR="00927FC8" w:rsidRDefault="00927FC8" w:rsidP="00927FC8">
      <w:pPr>
        <w:jc w:val="center"/>
        <w:rPr>
          <w:rFonts w:ascii="Arial" w:hAnsi="Arial" w:cs="Arial"/>
          <w:b/>
          <w:bCs/>
        </w:rPr>
      </w:pPr>
    </w:p>
    <w:p w14:paraId="25150801" w14:textId="77777777" w:rsidR="00927FC8" w:rsidRDefault="00927FC8" w:rsidP="00927FC8">
      <w:pPr>
        <w:jc w:val="center"/>
        <w:rPr>
          <w:rFonts w:ascii="Arial" w:hAnsi="Arial" w:cs="Arial"/>
          <w:b/>
          <w:bCs/>
        </w:rPr>
      </w:pPr>
    </w:p>
    <w:p w14:paraId="79024704" w14:textId="77777777" w:rsidR="00927FC8" w:rsidRDefault="00927FC8" w:rsidP="00927FC8">
      <w:pPr>
        <w:jc w:val="center"/>
        <w:rPr>
          <w:rFonts w:ascii="Arial" w:hAnsi="Arial" w:cs="Arial"/>
          <w:b/>
          <w:bCs/>
        </w:rPr>
      </w:pPr>
    </w:p>
    <w:p w14:paraId="4EC8C752" w14:textId="29F490E2" w:rsidR="00927FC8" w:rsidRDefault="00927FC8" w:rsidP="00927FC8">
      <w:pPr>
        <w:jc w:val="center"/>
        <w:rPr>
          <w:rFonts w:ascii="Arial" w:hAnsi="Arial" w:cs="Arial"/>
          <w:b/>
          <w:bCs/>
        </w:rPr>
      </w:pPr>
      <w:r>
        <w:rPr>
          <w:rFonts w:ascii="Arial" w:hAnsi="Arial" w:cs="Arial"/>
          <w:b/>
          <w:bCs/>
        </w:rPr>
        <w:t>MARZO 2026</w:t>
      </w:r>
    </w:p>
    <w:p w14:paraId="3AB55089" w14:textId="4E1F3907" w:rsidR="00927FC8" w:rsidRDefault="00927FC8" w:rsidP="00927FC8">
      <w:pPr>
        <w:pStyle w:val="Prrafodelista"/>
        <w:numPr>
          <w:ilvl w:val="0"/>
          <w:numId w:val="2"/>
        </w:numPr>
        <w:rPr>
          <w:rFonts w:ascii="Arial" w:hAnsi="Arial" w:cs="Arial"/>
          <w:b/>
          <w:bCs/>
        </w:rPr>
      </w:pPr>
      <w:r>
        <w:rPr>
          <w:rFonts w:ascii="Arial" w:hAnsi="Arial" w:cs="Arial"/>
          <w:b/>
          <w:bCs/>
        </w:rPr>
        <w:lastRenderedPageBreak/>
        <w:t xml:space="preserve">Tema. </w:t>
      </w:r>
    </w:p>
    <w:p w14:paraId="148EA2EC" w14:textId="2A429B09" w:rsidR="00866613" w:rsidRDefault="00927FC8" w:rsidP="00866613">
      <w:pPr>
        <w:pStyle w:val="Prrafodelista"/>
        <w:rPr>
          <w:rFonts w:ascii="Arial" w:hAnsi="Arial" w:cs="Arial"/>
        </w:rPr>
      </w:pPr>
      <w:r>
        <w:rPr>
          <w:rFonts w:ascii="Arial" w:hAnsi="Arial" w:cs="Arial"/>
        </w:rPr>
        <w:t>La pertinencia del gasto</w:t>
      </w:r>
      <w:r w:rsidR="00866613">
        <w:rPr>
          <w:rFonts w:ascii="Arial" w:hAnsi="Arial" w:cs="Arial"/>
        </w:rPr>
        <w:t xml:space="preserve"> social en el territorio: Evaluación del impacto de los subsidios de vivienda en el departamento del Tolima.</w:t>
      </w:r>
    </w:p>
    <w:p w14:paraId="06111131" w14:textId="77777777" w:rsidR="00866613" w:rsidRDefault="00866613" w:rsidP="00866613">
      <w:pPr>
        <w:pStyle w:val="Prrafodelista"/>
        <w:rPr>
          <w:rFonts w:ascii="Arial" w:hAnsi="Arial" w:cs="Arial"/>
        </w:rPr>
      </w:pPr>
    </w:p>
    <w:p w14:paraId="74DB45A5" w14:textId="5BB3E28E" w:rsidR="00866613" w:rsidRDefault="00866613" w:rsidP="00866613">
      <w:pPr>
        <w:pStyle w:val="Prrafodelista"/>
        <w:numPr>
          <w:ilvl w:val="0"/>
          <w:numId w:val="2"/>
        </w:numPr>
        <w:rPr>
          <w:rFonts w:ascii="Arial" w:hAnsi="Arial" w:cs="Arial"/>
          <w:b/>
          <w:bCs/>
        </w:rPr>
      </w:pPr>
      <w:r>
        <w:rPr>
          <w:rFonts w:ascii="Arial" w:hAnsi="Arial" w:cs="Arial"/>
          <w:b/>
          <w:bCs/>
        </w:rPr>
        <w:t>Título de la Investigación.</w:t>
      </w:r>
    </w:p>
    <w:p w14:paraId="4713CBE8" w14:textId="79769697" w:rsidR="00866613" w:rsidRDefault="00866613" w:rsidP="00866613">
      <w:pPr>
        <w:pStyle w:val="Prrafodelista"/>
        <w:rPr>
          <w:rFonts w:ascii="Arial" w:hAnsi="Arial" w:cs="Arial"/>
        </w:rPr>
      </w:pPr>
      <w:r>
        <w:rPr>
          <w:rFonts w:ascii="Arial" w:hAnsi="Arial" w:cs="Arial"/>
        </w:rPr>
        <w:t xml:space="preserve">Evaluación del impacto territorial de los subsidios de vivienda en el Tolima: caso cajas de compensación (2022 – 2023) </w:t>
      </w:r>
    </w:p>
    <w:p w14:paraId="135C0FD2" w14:textId="77777777" w:rsidR="00866613" w:rsidRDefault="00866613" w:rsidP="00866613">
      <w:pPr>
        <w:pStyle w:val="Prrafodelista"/>
        <w:rPr>
          <w:rFonts w:ascii="Arial" w:hAnsi="Arial" w:cs="Arial"/>
        </w:rPr>
      </w:pPr>
    </w:p>
    <w:p w14:paraId="6548A77C" w14:textId="72F123FD" w:rsidR="00866613" w:rsidRDefault="00866613" w:rsidP="00866613">
      <w:pPr>
        <w:pStyle w:val="Prrafodelista"/>
        <w:numPr>
          <w:ilvl w:val="0"/>
          <w:numId w:val="2"/>
        </w:numPr>
        <w:rPr>
          <w:rFonts w:ascii="Arial" w:hAnsi="Arial" w:cs="Arial"/>
          <w:b/>
          <w:bCs/>
        </w:rPr>
      </w:pPr>
      <w:r>
        <w:rPr>
          <w:rFonts w:ascii="Arial" w:hAnsi="Arial" w:cs="Arial"/>
          <w:b/>
          <w:bCs/>
        </w:rPr>
        <w:t>Problema.</w:t>
      </w:r>
    </w:p>
    <w:p w14:paraId="08D7DD89" w14:textId="5C86B037" w:rsidR="005C7545" w:rsidRPr="005C7545" w:rsidRDefault="005C7545" w:rsidP="005C7545">
      <w:pPr>
        <w:pStyle w:val="Prrafodelista"/>
        <w:rPr>
          <w:rFonts w:ascii="Arial" w:hAnsi="Arial" w:cs="Arial"/>
        </w:rPr>
      </w:pPr>
      <w:r w:rsidRPr="005C7545">
        <w:rPr>
          <w:rFonts w:ascii="Arial" w:hAnsi="Arial" w:cs="Arial"/>
        </w:rPr>
        <w:t>En el ejercicio de las funciones de vigilancia que la Superintendencia del Subsidio Familiar desarrolla sobre el servicio de vivienda en el departamento del Tolima, predomina un enfoque de carácter normativo y contable. Actualmente, la supervisión se limita a verificar, mediante los reportes del sistema SIGER, que las Cajas de Compensación cumplan con los porcentajes de ley y que la ejecución presupuestal del FOVIS coincida con los marcos legales vigentes. Sin embargo, este modelo de vigilancia no integra una herramienta técnica que permita evaluar la pertinencia territorial de dicha inversión.</w:t>
      </w:r>
    </w:p>
    <w:p w14:paraId="5C5A84FE" w14:textId="77777777" w:rsidR="005C7545" w:rsidRPr="005C7545" w:rsidRDefault="005C7545" w:rsidP="005C7545">
      <w:pPr>
        <w:pStyle w:val="Prrafodelista"/>
        <w:rPr>
          <w:rFonts w:ascii="Arial" w:hAnsi="Arial" w:cs="Arial"/>
        </w:rPr>
      </w:pPr>
    </w:p>
    <w:p w14:paraId="4237A0BD" w14:textId="7E4E7D98" w:rsidR="005C7545" w:rsidRDefault="005C7545" w:rsidP="00837F7E">
      <w:pPr>
        <w:pStyle w:val="Prrafodelista"/>
        <w:rPr>
          <w:rFonts w:ascii="Arial" w:hAnsi="Arial" w:cs="Arial"/>
        </w:rPr>
      </w:pPr>
      <w:r w:rsidRPr="005C7545">
        <w:rPr>
          <w:rFonts w:ascii="Arial" w:hAnsi="Arial" w:cs="Arial"/>
        </w:rPr>
        <w:t>El riesgo identificado radica en la desconexión entre el cumplimiento legal y el impacto misional. Una Caja de Compensación puede ejecutar la totalidad de sus recursos y cumplir satisfactoriamente con los reportes financieros; no obstante, si dicha inversión se concentra únicamente en centros urbanos con mercados inmobiliarios dinámicos, se estarían desatendiendo las zonas del Tolima con los índices más críticos de déficit habitacional reportados por el DANE. En conclusión, la vigilancia actual valida que el gasto sea legalmente correcto, pero no cuenta con mecanismos para determinar si el recurso está siendo asignado donde existe la mayor necesidad social dentro del departamento.</w:t>
      </w:r>
    </w:p>
    <w:p w14:paraId="24CF30BE" w14:textId="77777777" w:rsidR="00837F7E" w:rsidRDefault="00837F7E" w:rsidP="00837F7E">
      <w:pPr>
        <w:pStyle w:val="Prrafodelista"/>
        <w:rPr>
          <w:rFonts w:ascii="Arial" w:hAnsi="Arial" w:cs="Arial"/>
        </w:rPr>
      </w:pPr>
    </w:p>
    <w:p w14:paraId="46939FD0" w14:textId="5BF44F9C" w:rsidR="00837F7E" w:rsidRDefault="00837F7E" w:rsidP="00837F7E">
      <w:pPr>
        <w:pStyle w:val="Prrafodelista"/>
        <w:numPr>
          <w:ilvl w:val="0"/>
          <w:numId w:val="2"/>
        </w:numPr>
        <w:rPr>
          <w:rFonts w:ascii="Arial" w:hAnsi="Arial" w:cs="Arial"/>
          <w:b/>
          <w:bCs/>
        </w:rPr>
      </w:pPr>
      <w:r>
        <w:rPr>
          <w:rFonts w:ascii="Arial" w:hAnsi="Arial" w:cs="Arial"/>
          <w:b/>
          <w:bCs/>
        </w:rPr>
        <w:t>Deficiencias:</w:t>
      </w:r>
    </w:p>
    <w:p w14:paraId="5A01ECA6" w14:textId="42471662" w:rsidR="00837F7E" w:rsidRDefault="00837F7E" w:rsidP="00837F7E">
      <w:pPr>
        <w:pStyle w:val="Prrafodelista"/>
        <w:rPr>
          <w:rFonts w:ascii="Arial" w:hAnsi="Arial" w:cs="Arial"/>
        </w:rPr>
      </w:pPr>
      <w:r w:rsidRPr="00837F7E">
        <w:rPr>
          <w:rFonts w:ascii="Arial" w:hAnsi="Arial" w:cs="Arial"/>
        </w:rPr>
        <w:t xml:space="preserve">En el proceso actual de vigilancia y seguimiento al servicio de vivienda en el departamento del Tolima, </w:t>
      </w:r>
      <w:r>
        <w:rPr>
          <w:rFonts w:ascii="Arial" w:hAnsi="Arial" w:cs="Arial"/>
        </w:rPr>
        <w:t>identifico</w:t>
      </w:r>
      <w:r w:rsidRPr="00837F7E">
        <w:rPr>
          <w:rFonts w:ascii="Arial" w:hAnsi="Arial" w:cs="Arial"/>
        </w:rPr>
        <w:t xml:space="preserve"> las siguientes limitaciones técnicas:</w:t>
      </w:r>
    </w:p>
    <w:p w14:paraId="78FBB1CC" w14:textId="77777777" w:rsidR="00837F7E" w:rsidRDefault="00837F7E" w:rsidP="00837F7E">
      <w:pPr>
        <w:pStyle w:val="Prrafodelista"/>
        <w:rPr>
          <w:rFonts w:ascii="Arial" w:hAnsi="Arial" w:cs="Arial"/>
        </w:rPr>
      </w:pPr>
    </w:p>
    <w:p w14:paraId="501A6F6D" w14:textId="15E81DCD" w:rsidR="00837F7E" w:rsidRDefault="00837F7E" w:rsidP="00837F7E">
      <w:pPr>
        <w:pStyle w:val="Prrafodelista"/>
        <w:numPr>
          <w:ilvl w:val="0"/>
          <w:numId w:val="3"/>
        </w:numPr>
        <w:rPr>
          <w:rFonts w:ascii="Arial" w:hAnsi="Arial" w:cs="Arial"/>
        </w:rPr>
      </w:pPr>
      <w:r>
        <w:rPr>
          <w:rFonts w:ascii="Arial" w:hAnsi="Arial" w:cs="Arial"/>
          <w:b/>
          <w:bCs/>
        </w:rPr>
        <w:t xml:space="preserve">Desconexión de fuentes de información: </w:t>
      </w:r>
      <w:r w:rsidRPr="00837F7E">
        <w:rPr>
          <w:rFonts w:ascii="Arial" w:hAnsi="Arial" w:cs="Arial"/>
        </w:rPr>
        <w:t>Actualmente, la supervisión se realiza de forma aislada. Se analizan los reportes de ejecución en el SIGER para verificar que las Cajas gasten el dinero, pero no existe un procedimiento de oficina para contrastar esas cifras con la realidad habitacional que reporta el DANE en los municipios del Tolima.</w:t>
      </w:r>
    </w:p>
    <w:p w14:paraId="25CCBE21" w14:textId="77777777" w:rsidR="00837F7E" w:rsidRDefault="00837F7E" w:rsidP="00837F7E">
      <w:pPr>
        <w:pStyle w:val="Prrafodelista"/>
        <w:rPr>
          <w:rFonts w:ascii="Arial" w:hAnsi="Arial" w:cs="Arial"/>
        </w:rPr>
      </w:pPr>
    </w:p>
    <w:p w14:paraId="2C062C9D" w14:textId="2ABC23C5" w:rsidR="00837F7E" w:rsidRDefault="00837F7E" w:rsidP="00837F7E">
      <w:pPr>
        <w:pStyle w:val="Prrafodelista"/>
        <w:numPr>
          <w:ilvl w:val="0"/>
          <w:numId w:val="3"/>
        </w:numPr>
        <w:rPr>
          <w:rFonts w:ascii="Arial" w:hAnsi="Arial" w:cs="Arial"/>
        </w:rPr>
      </w:pPr>
      <w:r>
        <w:rPr>
          <w:rFonts w:ascii="Arial" w:hAnsi="Arial" w:cs="Arial"/>
          <w:b/>
          <w:bCs/>
        </w:rPr>
        <w:t xml:space="preserve">Enfoque de vigilancia centrado en el gasto y no en la pertinencia: </w:t>
      </w:r>
      <w:r w:rsidRPr="00837F7E">
        <w:rPr>
          <w:rFonts w:ascii="Arial" w:hAnsi="Arial" w:cs="Arial"/>
        </w:rPr>
        <w:t>El modelo actual prioriza verificar que el recurso salga de la cuenta de la Caja de Compensación. Esto genera un vacío, ya que no permite identificar si ese dinero está llegando a las zonas con mayores carencias o si se está concentrando solo donde hay oferta comercial de vivienda.</w:t>
      </w:r>
    </w:p>
    <w:p w14:paraId="64CBFC44" w14:textId="77777777" w:rsidR="00837F7E" w:rsidRDefault="00837F7E" w:rsidP="00837F7E">
      <w:pPr>
        <w:pStyle w:val="Prrafodelista"/>
        <w:rPr>
          <w:rFonts w:ascii="Arial" w:hAnsi="Arial" w:cs="Arial"/>
          <w:b/>
          <w:bCs/>
        </w:rPr>
      </w:pPr>
    </w:p>
    <w:p w14:paraId="24B7648B" w14:textId="16BAF145" w:rsidR="00837F7E" w:rsidRDefault="00837F7E" w:rsidP="00837F7E">
      <w:pPr>
        <w:pStyle w:val="Prrafodelista"/>
        <w:numPr>
          <w:ilvl w:val="0"/>
          <w:numId w:val="3"/>
        </w:numPr>
        <w:rPr>
          <w:rFonts w:ascii="Arial" w:hAnsi="Arial" w:cs="Arial"/>
        </w:rPr>
      </w:pPr>
      <w:r>
        <w:rPr>
          <w:rFonts w:ascii="Arial" w:hAnsi="Arial" w:cs="Arial"/>
          <w:b/>
          <w:bCs/>
        </w:rPr>
        <w:t xml:space="preserve">Ausencia de criterios de comparación territorial: </w:t>
      </w:r>
      <w:r w:rsidRPr="00837F7E">
        <w:rPr>
          <w:rFonts w:ascii="Arial" w:hAnsi="Arial" w:cs="Arial"/>
        </w:rPr>
        <w:t xml:space="preserve">No se cuenta con una matriz que permita cruzar la inversión vs. la necesidad. Mientras la vigilancia </w:t>
      </w:r>
      <w:r w:rsidRPr="00837F7E">
        <w:rPr>
          <w:rFonts w:ascii="Arial" w:hAnsi="Arial" w:cs="Arial"/>
        </w:rPr>
        <w:lastRenderedPageBreak/>
        <w:t>sea global por entidad, no es posible detectar si municipios del Tolima con altos índices de pobreza están siendo desatendidos por el sistema de subsidios.</w:t>
      </w:r>
    </w:p>
    <w:p w14:paraId="39994B2C" w14:textId="77777777" w:rsidR="003E0253" w:rsidRPr="003E0253" w:rsidRDefault="003E0253" w:rsidP="003E0253">
      <w:pPr>
        <w:pStyle w:val="Prrafodelista"/>
        <w:rPr>
          <w:rFonts w:ascii="Arial" w:hAnsi="Arial" w:cs="Arial"/>
        </w:rPr>
      </w:pPr>
    </w:p>
    <w:p w14:paraId="423E872F" w14:textId="47D5EBC0" w:rsidR="003E0253" w:rsidRPr="003E0253" w:rsidRDefault="003E0253" w:rsidP="003E0253">
      <w:pPr>
        <w:pStyle w:val="Prrafodelista"/>
        <w:numPr>
          <w:ilvl w:val="0"/>
          <w:numId w:val="3"/>
        </w:numPr>
        <w:rPr>
          <w:rFonts w:ascii="Arial" w:hAnsi="Arial" w:cs="Arial"/>
          <w:b/>
          <w:bCs/>
        </w:rPr>
      </w:pPr>
      <w:r w:rsidRPr="003E0253">
        <w:rPr>
          <w:rFonts w:ascii="Arial" w:hAnsi="Arial" w:cs="Arial"/>
          <w:b/>
          <w:bCs/>
        </w:rPr>
        <w:t xml:space="preserve">Potencial para la integración de indicadores de impacto social: </w:t>
      </w:r>
      <w:r w:rsidRPr="003E0253">
        <w:rPr>
          <w:rFonts w:ascii="Arial" w:hAnsi="Arial" w:cs="Arial"/>
        </w:rPr>
        <w:t>Si bien la oficina cuenta con información detallada en el SIGER, existe el espacio técnico para complementar el análisis con datos de realidad territorial como los que ofrece el DANE. El desarrollo de una metodología que logre cruzar estas fuentes permitirá que la vigilancia pase de ser netamente administrativa a ser una herramienta de evaluación del impacto social en los municipios del Tolima.</w:t>
      </w:r>
    </w:p>
    <w:p w14:paraId="5E27D0B3" w14:textId="77777777" w:rsidR="003E0253" w:rsidRPr="003E0253" w:rsidRDefault="003E0253" w:rsidP="003E0253">
      <w:pPr>
        <w:pStyle w:val="Prrafodelista"/>
        <w:rPr>
          <w:rFonts w:ascii="Arial" w:hAnsi="Arial" w:cs="Arial"/>
          <w:b/>
          <w:bCs/>
        </w:rPr>
      </w:pPr>
    </w:p>
    <w:p w14:paraId="4F3FD053" w14:textId="2F8228A1" w:rsidR="003E0253" w:rsidRDefault="003E0253" w:rsidP="003E0253">
      <w:pPr>
        <w:pStyle w:val="Prrafodelista"/>
        <w:numPr>
          <w:ilvl w:val="0"/>
          <w:numId w:val="2"/>
        </w:numPr>
        <w:rPr>
          <w:rFonts w:ascii="Arial" w:hAnsi="Arial" w:cs="Arial"/>
          <w:b/>
          <w:bCs/>
        </w:rPr>
      </w:pPr>
      <w:r>
        <w:rPr>
          <w:rFonts w:ascii="Arial" w:hAnsi="Arial" w:cs="Arial"/>
          <w:b/>
          <w:bCs/>
        </w:rPr>
        <w:t>Pregunta de investigación.</w:t>
      </w:r>
    </w:p>
    <w:p w14:paraId="6FD89D0C" w14:textId="18862397" w:rsidR="003E0253" w:rsidRDefault="003E0253" w:rsidP="003E0253">
      <w:pPr>
        <w:pStyle w:val="Prrafodelista"/>
        <w:rPr>
          <w:rFonts w:ascii="Arial" w:hAnsi="Arial" w:cs="Arial"/>
        </w:rPr>
      </w:pPr>
      <w:r w:rsidRPr="003E0253">
        <w:rPr>
          <w:rFonts w:ascii="Arial" w:hAnsi="Arial" w:cs="Arial"/>
        </w:rPr>
        <w:t>¿De qué manera el análisis comparativo entre los datos de asignación de subsidios de vivienda reportados en el SIGER y los indicadores de déficit habitacional del DANE, permite evaluar la pertinencia territorial de la inversión social de las Cajas de Compensación en el departamento del Tolima durante el periodo 2022-2023?</w:t>
      </w:r>
    </w:p>
    <w:p w14:paraId="202178EB" w14:textId="77777777" w:rsidR="003E0253" w:rsidRDefault="003E0253" w:rsidP="003E0253">
      <w:pPr>
        <w:pStyle w:val="Prrafodelista"/>
        <w:rPr>
          <w:rFonts w:ascii="Arial" w:hAnsi="Arial" w:cs="Arial"/>
        </w:rPr>
      </w:pPr>
    </w:p>
    <w:p w14:paraId="11BD3EA9" w14:textId="7CA412A3" w:rsidR="003E0253" w:rsidRDefault="003E0253" w:rsidP="003E0253">
      <w:pPr>
        <w:pStyle w:val="Prrafodelista"/>
        <w:numPr>
          <w:ilvl w:val="0"/>
          <w:numId w:val="2"/>
        </w:numPr>
        <w:rPr>
          <w:rFonts w:ascii="Arial" w:hAnsi="Arial" w:cs="Arial"/>
          <w:b/>
          <w:bCs/>
        </w:rPr>
      </w:pPr>
      <w:r>
        <w:rPr>
          <w:rFonts w:ascii="Arial" w:hAnsi="Arial" w:cs="Arial"/>
          <w:b/>
          <w:bCs/>
        </w:rPr>
        <w:t>Justificación.</w:t>
      </w:r>
    </w:p>
    <w:p w14:paraId="057269FD" w14:textId="369BB0B9" w:rsidR="003E0253" w:rsidRDefault="0046011E" w:rsidP="003E0253">
      <w:pPr>
        <w:pStyle w:val="Prrafodelista"/>
        <w:rPr>
          <w:rFonts w:ascii="Arial" w:hAnsi="Arial" w:cs="Arial"/>
        </w:rPr>
      </w:pPr>
      <w:r w:rsidRPr="0046011E">
        <w:rPr>
          <w:rFonts w:ascii="Arial" w:hAnsi="Arial" w:cs="Arial"/>
        </w:rPr>
        <w:t>La presente investigación se justifica por la necesidad de evolucionar los mecanismos de vigilancia de la Superintendencia del Subsidio Familiar, transitando de una supervisión netamente documental a una de impacto territorial.</w:t>
      </w:r>
    </w:p>
    <w:p w14:paraId="1F69796E" w14:textId="77777777" w:rsidR="002B230A" w:rsidRDefault="002B230A" w:rsidP="003E0253">
      <w:pPr>
        <w:pStyle w:val="Prrafodelista"/>
        <w:rPr>
          <w:rFonts w:ascii="Arial" w:hAnsi="Arial" w:cs="Arial"/>
        </w:rPr>
      </w:pPr>
    </w:p>
    <w:p w14:paraId="1C8583F1" w14:textId="104AF2E3" w:rsidR="002B230A" w:rsidRDefault="002B230A" w:rsidP="002B230A">
      <w:pPr>
        <w:pStyle w:val="Prrafodelista"/>
        <w:numPr>
          <w:ilvl w:val="0"/>
          <w:numId w:val="3"/>
        </w:numPr>
        <w:rPr>
          <w:rFonts w:ascii="Arial" w:hAnsi="Arial" w:cs="Arial"/>
        </w:rPr>
      </w:pPr>
      <w:r>
        <w:rPr>
          <w:rFonts w:ascii="Arial" w:hAnsi="Arial" w:cs="Arial"/>
          <w:b/>
          <w:bCs/>
        </w:rPr>
        <w:t xml:space="preserve">Optimización de la vigilancia técnica: </w:t>
      </w:r>
      <w:r w:rsidRPr="002B230A">
        <w:rPr>
          <w:rFonts w:ascii="Arial" w:hAnsi="Arial" w:cs="Arial"/>
        </w:rPr>
        <w:t>Al integrar los datos del SIGER con indicadores del DANE, la oficina contará por primera vez con un modelo de análisis que permite identificar brechas entre la ejecución del gasto y la necesidad social. Esto fortalece la capacidad de la Superintendencia para emitir recomendaciones basadas en la realidad del territorio y no solo en el cumplimiento de cifras contables.</w:t>
      </w:r>
    </w:p>
    <w:p w14:paraId="19A71746" w14:textId="77777777" w:rsidR="002B230A" w:rsidRDefault="002B230A" w:rsidP="002B230A">
      <w:pPr>
        <w:pStyle w:val="Prrafodelista"/>
        <w:ind w:left="1080"/>
        <w:rPr>
          <w:rFonts w:ascii="Arial" w:hAnsi="Arial" w:cs="Arial"/>
          <w:b/>
          <w:bCs/>
        </w:rPr>
      </w:pPr>
    </w:p>
    <w:p w14:paraId="10466E29" w14:textId="3A042E37" w:rsidR="002B230A" w:rsidRDefault="002B230A" w:rsidP="002B230A">
      <w:pPr>
        <w:pStyle w:val="Prrafodelista"/>
        <w:numPr>
          <w:ilvl w:val="0"/>
          <w:numId w:val="3"/>
        </w:numPr>
        <w:rPr>
          <w:rFonts w:ascii="Arial" w:hAnsi="Arial" w:cs="Arial"/>
        </w:rPr>
      </w:pPr>
      <w:r>
        <w:rPr>
          <w:rFonts w:ascii="Arial" w:hAnsi="Arial" w:cs="Arial"/>
          <w:b/>
          <w:bCs/>
        </w:rPr>
        <w:t xml:space="preserve">Pertinencia de la inversión social: </w:t>
      </w:r>
      <w:r w:rsidRPr="002B230A">
        <w:rPr>
          <w:rFonts w:ascii="Arial" w:hAnsi="Arial" w:cs="Arial"/>
        </w:rPr>
        <w:t>Los recursos del FOVIS representan el esfuerzo del sistema para reducir la brecha de vivienda en el país. Justificar este estudio permite validar si esos recursos están llegando efectivamente a los afiliados de Categorías A y B en los municipios del Tolima con mayores carencias, garantizando que el subsidio cumpla su función social de equidad.</w:t>
      </w:r>
    </w:p>
    <w:p w14:paraId="5617A1AC" w14:textId="77777777" w:rsidR="002B230A" w:rsidRPr="002B230A" w:rsidRDefault="002B230A" w:rsidP="002B230A">
      <w:pPr>
        <w:pStyle w:val="Prrafodelista"/>
        <w:rPr>
          <w:rFonts w:ascii="Arial" w:hAnsi="Arial" w:cs="Arial"/>
        </w:rPr>
      </w:pPr>
    </w:p>
    <w:p w14:paraId="60077465" w14:textId="440C8407" w:rsidR="00837F7E" w:rsidRDefault="002B230A" w:rsidP="002B230A">
      <w:pPr>
        <w:pStyle w:val="Prrafodelista"/>
        <w:numPr>
          <w:ilvl w:val="0"/>
          <w:numId w:val="3"/>
        </w:numPr>
        <w:rPr>
          <w:rFonts w:ascii="Arial" w:hAnsi="Arial" w:cs="Arial"/>
        </w:rPr>
      </w:pPr>
      <w:r>
        <w:rPr>
          <w:rFonts w:ascii="Arial" w:hAnsi="Arial" w:cs="Arial"/>
          <w:b/>
          <w:bCs/>
        </w:rPr>
        <w:t xml:space="preserve">Innovación metodológica con recursos existentes: </w:t>
      </w:r>
      <w:r w:rsidRPr="002B230A">
        <w:rPr>
          <w:rFonts w:ascii="Arial" w:hAnsi="Arial" w:cs="Arial"/>
        </w:rPr>
        <w:t>Esta investigación demuestra que es posible generar valor agregado y conocimiento especializado utilizando las herramientas que ya se encuentran a disposición de la oficina (bases de datos institucionales y fuentes públicas). No requiere de inversiones adicionales, sino de una mejor articulación de la información para una toma de decisiones más informada, transformando datos brutos en inteligencia institucional para la vigilancia del departamento.</w:t>
      </w:r>
    </w:p>
    <w:p w14:paraId="3CCF7520" w14:textId="77777777" w:rsidR="002B230A" w:rsidRDefault="002B230A" w:rsidP="002B230A">
      <w:pPr>
        <w:pStyle w:val="Prrafodelista"/>
        <w:rPr>
          <w:rFonts w:ascii="Arial" w:hAnsi="Arial" w:cs="Arial"/>
        </w:rPr>
      </w:pPr>
    </w:p>
    <w:p w14:paraId="45592B0E" w14:textId="77777777" w:rsidR="00150BA2" w:rsidRDefault="00150BA2" w:rsidP="002B230A">
      <w:pPr>
        <w:pStyle w:val="Prrafodelista"/>
        <w:rPr>
          <w:rFonts w:ascii="Arial" w:hAnsi="Arial" w:cs="Arial"/>
        </w:rPr>
      </w:pPr>
    </w:p>
    <w:p w14:paraId="03746C79" w14:textId="77777777" w:rsidR="00150BA2" w:rsidRDefault="00150BA2" w:rsidP="002B230A">
      <w:pPr>
        <w:pStyle w:val="Prrafodelista"/>
        <w:rPr>
          <w:rFonts w:ascii="Arial" w:hAnsi="Arial" w:cs="Arial"/>
        </w:rPr>
      </w:pPr>
    </w:p>
    <w:p w14:paraId="4755BE05" w14:textId="77777777" w:rsidR="00150BA2" w:rsidRDefault="00150BA2" w:rsidP="002B230A">
      <w:pPr>
        <w:pStyle w:val="Prrafodelista"/>
        <w:rPr>
          <w:rFonts w:ascii="Arial" w:hAnsi="Arial" w:cs="Arial"/>
        </w:rPr>
      </w:pPr>
    </w:p>
    <w:p w14:paraId="085E7F6F" w14:textId="77777777" w:rsidR="00150BA2" w:rsidRPr="002B230A" w:rsidRDefault="00150BA2" w:rsidP="002B230A">
      <w:pPr>
        <w:pStyle w:val="Prrafodelista"/>
        <w:rPr>
          <w:rFonts w:ascii="Arial" w:hAnsi="Arial" w:cs="Arial"/>
        </w:rPr>
      </w:pPr>
    </w:p>
    <w:p w14:paraId="25014562" w14:textId="1FE0B028" w:rsidR="002B230A" w:rsidRDefault="00150BA2" w:rsidP="00150BA2">
      <w:pPr>
        <w:pStyle w:val="Prrafodelista"/>
        <w:numPr>
          <w:ilvl w:val="0"/>
          <w:numId w:val="2"/>
        </w:numPr>
        <w:rPr>
          <w:rFonts w:ascii="Arial" w:hAnsi="Arial" w:cs="Arial"/>
          <w:b/>
          <w:bCs/>
        </w:rPr>
      </w:pPr>
      <w:r>
        <w:rPr>
          <w:rFonts w:ascii="Arial" w:hAnsi="Arial" w:cs="Arial"/>
          <w:b/>
          <w:bCs/>
        </w:rPr>
        <w:lastRenderedPageBreak/>
        <w:t>Objetivos.</w:t>
      </w:r>
    </w:p>
    <w:p w14:paraId="70CBF654" w14:textId="7D08808C" w:rsidR="00150BA2" w:rsidRDefault="00150BA2" w:rsidP="00150BA2">
      <w:pPr>
        <w:pStyle w:val="Prrafodelista"/>
        <w:rPr>
          <w:rFonts w:ascii="Arial" w:hAnsi="Arial" w:cs="Arial"/>
          <w:b/>
          <w:bCs/>
        </w:rPr>
      </w:pPr>
    </w:p>
    <w:p w14:paraId="20D1F66B" w14:textId="77777777" w:rsidR="00150BA2" w:rsidRDefault="00150BA2" w:rsidP="00150BA2">
      <w:pPr>
        <w:pStyle w:val="Prrafodelista"/>
        <w:numPr>
          <w:ilvl w:val="1"/>
          <w:numId w:val="2"/>
        </w:numPr>
        <w:rPr>
          <w:rFonts w:ascii="Arial" w:hAnsi="Arial" w:cs="Arial"/>
          <w:b/>
          <w:bCs/>
        </w:rPr>
      </w:pPr>
      <w:r>
        <w:rPr>
          <w:rFonts w:ascii="Arial" w:hAnsi="Arial" w:cs="Arial"/>
          <w:b/>
          <w:bCs/>
        </w:rPr>
        <w:t>Objetivo general</w:t>
      </w:r>
    </w:p>
    <w:p w14:paraId="0BCD9B49" w14:textId="77777777" w:rsidR="00150BA2" w:rsidRDefault="00150BA2" w:rsidP="00150BA2">
      <w:pPr>
        <w:pStyle w:val="Prrafodelista"/>
        <w:ind w:left="792"/>
        <w:rPr>
          <w:rFonts w:ascii="Arial" w:hAnsi="Arial" w:cs="Arial"/>
          <w:b/>
          <w:bCs/>
        </w:rPr>
      </w:pPr>
    </w:p>
    <w:p w14:paraId="1DE262ED" w14:textId="31E726F0" w:rsidR="00150BA2" w:rsidRPr="00150BA2" w:rsidRDefault="00150BA2" w:rsidP="00150BA2">
      <w:pPr>
        <w:pStyle w:val="Prrafodelista"/>
        <w:ind w:left="792"/>
        <w:rPr>
          <w:rFonts w:ascii="Arial" w:hAnsi="Arial" w:cs="Arial"/>
          <w:b/>
          <w:bCs/>
        </w:rPr>
      </w:pPr>
      <w:r w:rsidRPr="00150BA2">
        <w:rPr>
          <w:rFonts w:ascii="Arial" w:hAnsi="Arial" w:cs="Arial"/>
        </w:rPr>
        <w:t>Evaluar la pertinencia territorial de los subsidios de vivienda asignados por las Cajas de Compensación Familiar en el departamento del Tolima durante el periodo 2022-2023, mediante el análisis comparativo de la ejecución reportada en el SIGER y los indicadores de déficit habitacional del DANE, para fortalecer los criterios de vigilancia técnica de la Superintendencia del Subsidio Familiar.</w:t>
      </w:r>
    </w:p>
    <w:p w14:paraId="507762B4" w14:textId="77777777" w:rsidR="00150BA2" w:rsidRDefault="00150BA2" w:rsidP="00150BA2">
      <w:pPr>
        <w:pStyle w:val="Prrafodelista"/>
        <w:ind w:left="1092"/>
        <w:rPr>
          <w:rFonts w:ascii="Arial" w:hAnsi="Arial" w:cs="Arial"/>
        </w:rPr>
      </w:pPr>
    </w:p>
    <w:p w14:paraId="4FFB2D5B" w14:textId="667C724C" w:rsidR="00150BA2" w:rsidRPr="00150BA2" w:rsidRDefault="00150BA2" w:rsidP="00150BA2">
      <w:pPr>
        <w:pStyle w:val="Prrafodelista"/>
        <w:numPr>
          <w:ilvl w:val="1"/>
          <w:numId w:val="2"/>
        </w:numPr>
        <w:rPr>
          <w:rFonts w:ascii="Arial" w:hAnsi="Arial" w:cs="Arial"/>
        </w:rPr>
      </w:pPr>
      <w:r>
        <w:rPr>
          <w:rFonts w:ascii="Arial" w:hAnsi="Arial" w:cs="Arial"/>
          <w:b/>
          <w:bCs/>
        </w:rPr>
        <w:t>Objetivos específicos</w:t>
      </w:r>
    </w:p>
    <w:p w14:paraId="2826E5D7" w14:textId="77777777" w:rsidR="00150BA2" w:rsidRDefault="00150BA2" w:rsidP="00150BA2">
      <w:pPr>
        <w:pStyle w:val="Prrafodelista"/>
        <w:ind w:left="792"/>
        <w:rPr>
          <w:rFonts w:ascii="Arial" w:hAnsi="Arial" w:cs="Arial"/>
          <w:b/>
          <w:bCs/>
        </w:rPr>
      </w:pPr>
    </w:p>
    <w:p w14:paraId="3F24E3F7" w14:textId="3AFB815F" w:rsidR="00150BA2" w:rsidRDefault="003F249D" w:rsidP="003F249D">
      <w:pPr>
        <w:pStyle w:val="Prrafodelista"/>
        <w:numPr>
          <w:ilvl w:val="0"/>
          <w:numId w:val="3"/>
        </w:numPr>
        <w:rPr>
          <w:rFonts w:ascii="Arial" w:hAnsi="Arial" w:cs="Arial"/>
        </w:rPr>
      </w:pPr>
      <w:r w:rsidRPr="003F249D">
        <w:rPr>
          <w:rFonts w:ascii="Arial" w:hAnsi="Arial" w:cs="Arial"/>
        </w:rPr>
        <w:t>Consolidar la información de ejecución presupuestal y asignación de subsidios de vivienda (FOVIS) del periodo 2022-2023 extraída del sistema SIGER, segmentándola por municipio y categoría de afiliación (A y B).</w:t>
      </w:r>
    </w:p>
    <w:p w14:paraId="0B69FEC6" w14:textId="77777777" w:rsidR="003F249D" w:rsidRDefault="003F249D" w:rsidP="00150BA2">
      <w:pPr>
        <w:pStyle w:val="Prrafodelista"/>
        <w:ind w:left="792"/>
        <w:rPr>
          <w:rFonts w:ascii="Arial" w:hAnsi="Arial" w:cs="Arial"/>
        </w:rPr>
      </w:pPr>
    </w:p>
    <w:p w14:paraId="7A6AEEB2" w14:textId="057711B6" w:rsidR="003F249D" w:rsidRDefault="003F249D" w:rsidP="003F249D">
      <w:pPr>
        <w:pStyle w:val="Prrafodelista"/>
        <w:numPr>
          <w:ilvl w:val="0"/>
          <w:numId w:val="3"/>
        </w:numPr>
        <w:rPr>
          <w:rFonts w:ascii="Arial" w:hAnsi="Arial" w:cs="Arial"/>
        </w:rPr>
      </w:pPr>
      <w:r w:rsidRPr="003F249D">
        <w:rPr>
          <w:rFonts w:ascii="Arial" w:hAnsi="Arial" w:cs="Arial"/>
        </w:rPr>
        <w:t>Identificar las zonas con mayores carencias habitacionales en el departamento del Tolima, utilizando los microdatos y el índice de déficit habitacional publicados por el DANE.</w:t>
      </w:r>
    </w:p>
    <w:p w14:paraId="3FABB211" w14:textId="77777777" w:rsidR="003F249D" w:rsidRDefault="003F249D" w:rsidP="00150BA2">
      <w:pPr>
        <w:pStyle w:val="Prrafodelista"/>
        <w:ind w:left="792"/>
        <w:rPr>
          <w:rFonts w:ascii="Arial" w:hAnsi="Arial" w:cs="Arial"/>
        </w:rPr>
      </w:pPr>
    </w:p>
    <w:p w14:paraId="477DD590" w14:textId="51CFC30A" w:rsidR="003F249D" w:rsidRDefault="003F249D" w:rsidP="003F249D">
      <w:pPr>
        <w:pStyle w:val="Prrafodelista"/>
        <w:numPr>
          <w:ilvl w:val="0"/>
          <w:numId w:val="3"/>
        </w:numPr>
        <w:rPr>
          <w:rFonts w:ascii="Arial" w:hAnsi="Arial" w:cs="Arial"/>
        </w:rPr>
      </w:pPr>
      <w:r w:rsidRPr="003F249D">
        <w:rPr>
          <w:rFonts w:ascii="Arial" w:hAnsi="Arial" w:cs="Arial"/>
        </w:rPr>
        <w:t>Contrastar la inversión realizada por las Cajas de Compensación frente a las necesidades detectadas en el territorio, para determinar si existe una correlación entre la asignación de recursos y las áreas de mayor vulnerabilidad.</w:t>
      </w:r>
    </w:p>
    <w:p w14:paraId="6270A0F5" w14:textId="77777777" w:rsidR="003F249D" w:rsidRDefault="003F249D" w:rsidP="00150BA2">
      <w:pPr>
        <w:pStyle w:val="Prrafodelista"/>
        <w:ind w:left="792"/>
        <w:rPr>
          <w:rFonts w:ascii="Arial" w:hAnsi="Arial" w:cs="Arial"/>
        </w:rPr>
      </w:pPr>
    </w:p>
    <w:p w14:paraId="7127784B" w14:textId="7269AA45" w:rsidR="003F249D" w:rsidRDefault="003F249D" w:rsidP="003F249D">
      <w:pPr>
        <w:pStyle w:val="Prrafodelista"/>
        <w:numPr>
          <w:ilvl w:val="0"/>
          <w:numId w:val="3"/>
        </w:numPr>
        <w:rPr>
          <w:rFonts w:ascii="Arial" w:hAnsi="Arial" w:cs="Arial"/>
        </w:rPr>
      </w:pPr>
      <w:r w:rsidRPr="003F249D">
        <w:rPr>
          <w:rFonts w:ascii="Arial" w:hAnsi="Arial" w:cs="Arial"/>
        </w:rPr>
        <w:t>Proponer recomendaciones técnicas basadas en el análisis de datos que permitan a la oficina de vigilancia orientar de manera más efectiva el seguimiento a la inversión social en materia de vivienda.</w:t>
      </w:r>
    </w:p>
    <w:p w14:paraId="588C7F6A" w14:textId="77777777" w:rsidR="003F249D" w:rsidRPr="003F249D" w:rsidRDefault="003F249D" w:rsidP="003F249D">
      <w:pPr>
        <w:pStyle w:val="Prrafodelista"/>
        <w:rPr>
          <w:rFonts w:ascii="Arial" w:hAnsi="Arial" w:cs="Arial"/>
        </w:rPr>
      </w:pPr>
    </w:p>
    <w:p w14:paraId="05FF46BA" w14:textId="77777777" w:rsidR="003F249D" w:rsidRDefault="003F249D" w:rsidP="003F249D">
      <w:pPr>
        <w:pStyle w:val="Prrafodelista"/>
        <w:numPr>
          <w:ilvl w:val="0"/>
          <w:numId w:val="2"/>
        </w:numPr>
        <w:rPr>
          <w:rFonts w:ascii="Arial" w:hAnsi="Arial" w:cs="Arial"/>
          <w:b/>
          <w:bCs/>
        </w:rPr>
      </w:pPr>
      <w:r>
        <w:rPr>
          <w:rFonts w:ascii="Arial" w:hAnsi="Arial" w:cs="Arial"/>
          <w:b/>
          <w:bCs/>
        </w:rPr>
        <w:t>Hipótesis</w:t>
      </w:r>
    </w:p>
    <w:p w14:paraId="66C5237E" w14:textId="77777777" w:rsidR="003F249D" w:rsidRDefault="003F249D" w:rsidP="003F249D">
      <w:pPr>
        <w:pStyle w:val="Prrafodelista"/>
        <w:ind w:left="360"/>
        <w:rPr>
          <w:rFonts w:ascii="Arial" w:hAnsi="Arial" w:cs="Arial"/>
          <w:b/>
          <w:bCs/>
        </w:rPr>
      </w:pPr>
    </w:p>
    <w:p w14:paraId="54100A55" w14:textId="77777777" w:rsidR="00BD64ED" w:rsidRDefault="003F249D" w:rsidP="003F249D">
      <w:pPr>
        <w:pStyle w:val="Prrafodelista"/>
        <w:ind w:left="360"/>
        <w:rPr>
          <w:rFonts w:ascii="Arial" w:hAnsi="Arial" w:cs="Arial"/>
        </w:rPr>
      </w:pPr>
      <w:r w:rsidRPr="003F249D">
        <w:rPr>
          <w:rFonts w:ascii="Arial" w:hAnsi="Arial" w:cs="Arial"/>
        </w:rPr>
        <w:t>Existe una asimetría significativa entre la asignación de subsidios de vivienda de las Cajas de Compensación Familiar y las necesidades territoriales del departamento del Tolima durante el periodo 2022-2023. Se plantea que la inversión de los recursos FOVIS tiende a concentrarse en municipios con mayor desarrollo urbano y oferta inmobiliaria (como Ibagué), mientras que las zonas con los índices de déficit habitacional más críticos, según el DANE, presentan una baja penetración del subsidio debido a la falta de proyectos de vivienda formal en esos territorios</w:t>
      </w:r>
      <w:r>
        <w:rPr>
          <w:rFonts w:ascii="Arial" w:hAnsi="Arial" w:cs="Arial"/>
        </w:rPr>
        <w:t>.</w:t>
      </w:r>
    </w:p>
    <w:p w14:paraId="1272C5D5" w14:textId="77777777" w:rsidR="00BD64ED" w:rsidRDefault="00BD64ED" w:rsidP="00BD64ED">
      <w:pPr>
        <w:rPr>
          <w:rFonts w:ascii="Arial" w:hAnsi="Arial" w:cs="Arial"/>
        </w:rPr>
      </w:pPr>
    </w:p>
    <w:p w14:paraId="55F728FD" w14:textId="77777777" w:rsidR="00BD64ED" w:rsidRPr="00BD64ED" w:rsidRDefault="00BD64ED" w:rsidP="00BD64ED">
      <w:pPr>
        <w:pStyle w:val="Prrafodelista"/>
        <w:numPr>
          <w:ilvl w:val="0"/>
          <w:numId w:val="2"/>
        </w:numPr>
        <w:rPr>
          <w:rFonts w:ascii="Arial" w:hAnsi="Arial" w:cs="Arial"/>
        </w:rPr>
      </w:pPr>
      <w:r>
        <w:rPr>
          <w:rFonts w:ascii="Arial" w:hAnsi="Arial" w:cs="Arial"/>
          <w:b/>
          <w:bCs/>
        </w:rPr>
        <w:t>Delimitación</w:t>
      </w:r>
    </w:p>
    <w:p w14:paraId="543FC0A3" w14:textId="77777777" w:rsidR="00BD64ED" w:rsidRDefault="00BD64ED" w:rsidP="00BD64ED">
      <w:pPr>
        <w:pStyle w:val="Prrafodelista"/>
        <w:ind w:left="360"/>
        <w:rPr>
          <w:rFonts w:ascii="Arial" w:hAnsi="Arial" w:cs="Arial"/>
          <w:b/>
          <w:bCs/>
        </w:rPr>
      </w:pPr>
    </w:p>
    <w:p w14:paraId="64E47D5B" w14:textId="1750FD07" w:rsidR="00BD64ED" w:rsidRDefault="00BD64ED" w:rsidP="00BD64ED">
      <w:pPr>
        <w:pStyle w:val="Prrafodelista"/>
        <w:ind w:left="360"/>
        <w:rPr>
          <w:rFonts w:ascii="Arial" w:hAnsi="Arial" w:cs="Arial"/>
        </w:rPr>
      </w:pPr>
      <w:r w:rsidRPr="00BD64ED">
        <w:rPr>
          <w:rFonts w:ascii="Arial" w:hAnsi="Arial" w:cs="Arial"/>
        </w:rPr>
        <w:t xml:space="preserve">La presente investigación se enfoca exclusivamente en el departamento del Tolima, analizando la gestión de las Cajas de Compensación Familiar durante el periodo comprendido entre 2022 y 2023. El estudio se limita técnicamente al análisis de la pertinencia territorial de los subsidios FOVIS (Vivienda de Interés Social), utilizando como fuentes primarias de contraste los reportes del sistema SIGER y los indicadores </w:t>
      </w:r>
      <w:r w:rsidRPr="00BD64ED">
        <w:rPr>
          <w:rFonts w:ascii="Arial" w:hAnsi="Arial" w:cs="Arial"/>
        </w:rPr>
        <w:lastRenderedPageBreak/>
        <w:t>de déficit habitacional del DANE. No se contemplan en este análisis otros servicios del subsidio familiar ni programas de vivienda de orden nacional ajenos a la vigilancia directa de la SSF</w:t>
      </w:r>
      <w:r>
        <w:rPr>
          <w:rFonts w:ascii="Arial" w:hAnsi="Arial" w:cs="Arial"/>
        </w:rPr>
        <w:t>.</w:t>
      </w:r>
    </w:p>
    <w:p w14:paraId="2181ACD1" w14:textId="77777777" w:rsidR="00BD64ED" w:rsidRDefault="00BD64ED" w:rsidP="00BD64ED">
      <w:pPr>
        <w:pStyle w:val="Prrafodelista"/>
        <w:ind w:left="360"/>
        <w:rPr>
          <w:rFonts w:ascii="Arial" w:hAnsi="Arial" w:cs="Arial"/>
        </w:rPr>
      </w:pPr>
    </w:p>
    <w:p w14:paraId="589817B5" w14:textId="7A1EC539" w:rsidR="00BD64ED" w:rsidRDefault="00BD64ED" w:rsidP="00BD64ED">
      <w:pPr>
        <w:pStyle w:val="Prrafodelista"/>
        <w:numPr>
          <w:ilvl w:val="0"/>
          <w:numId w:val="2"/>
        </w:numPr>
        <w:rPr>
          <w:rFonts w:ascii="Arial" w:hAnsi="Arial" w:cs="Arial"/>
          <w:b/>
          <w:bCs/>
        </w:rPr>
      </w:pPr>
      <w:r>
        <w:rPr>
          <w:rFonts w:ascii="Arial" w:hAnsi="Arial" w:cs="Arial"/>
          <w:b/>
          <w:bCs/>
        </w:rPr>
        <w:t>Viabilidad</w:t>
      </w:r>
    </w:p>
    <w:p w14:paraId="3885746B" w14:textId="77777777" w:rsidR="00086312" w:rsidRDefault="00086312" w:rsidP="00086312">
      <w:pPr>
        <w:pStyle w:val="Prrafodelista"/>
        <w:ind w:left="360"/>
        <w:rPr>
          <w:rFonts w:ascii="Arial" w:hAnsi="Arial" w:cs="Arial"/>
          <w:b/>
          <w:bCs/>
        </w:rPr>
      </w:pPr>
    </w:p>
    <w:p w14:paraId="1C427AD2" w14:textId="13802F92" w:rsidR="00AF37CB" w:rsidRDefault="00086312" w:rsidP="00AF37CB">
      <w:pPr>
        <w:pStyle w:val="Prrafodelista"/>
        <w:ind w:left="360"/>
        <w:rPr>
          <w:rFonts w:ascii="Arial" w:hAnsi="Arial" w:cs="Arial"/>
        </w:rPr>
      </w:pPr>
      <w:r w:rsidRPr="00086312">
        <w:rPr>
          <w:rFonts w:ascii="Arial" w:hAnsi="Arial" w:cs="Arial"/>
        </w:rPr>
        <w:t>El desarrollo de la presente investigación es plenamente factible, ya que se dispone de acceso directo a las fuentes de información institucionales (SIGER) y públicas (DANE), garantizando la disponibilidad de los datos necesarios sin requerir gestiones externas complejas. Asimismo, el estudio es económicamente viable al ejecutarse con los recursos ofimáticos y el talento humano ya existentes en la oficina, no generando costos adicionales. Finalmente, la investigación se alinea con las funciones de vigilancia de la entidad, permitiendo su ejecución dentro de los tiempos laborales establecidos al ser un insumo que fortalece la gestión técnica del departamento</w:t>
      </w:r>
      <w:r>
        <w:rPr>
          <w:rFonts w:ascii="Arial" w:hAnsi="Arial" w:cs="Arial"/>
        </w:rPr>
        <w:t>.</w:t>
      </w:r>
    </w:p>
    <w:p w14:paraId="1E02CD7A" w14:textId="77777777" w:rsidR="00AF37CB" w:rsidRDefault="00AF37CB" w:rsidP="00AF37CB">
      <w:pPr>
        <w:rPr>
          <w:rFonts w:ascii="Arial" w:hAnsi="Arial" w:cs="Arial"/>
        </w:rPr>
      </w:pPr>
    </w:p>
    <w:p w14:paraId="0EDEAFE7" w14:textId="77777777" w:rsidR="00AF37CB" w:rsidRPr="00AF37CB" w:rsidRDefault="00AF37CB" w:rsidP="00AF37CB">
      <w:pPr>
        <w:pStyle w:val="Prrafodelista"/>
        <w:numPr>
          <w:ilvl w:val="0"/>
          <w:numId w:val="2"/>
        </w:numPr>
        <w:rPr>
          <w:rFonts w:ascii="Arial" w:hAnsi="Arial" w:cs="Arial"/>
        </w:rPr>
      </w:pPr>
      <w:r>
        <w:rPr>
          <w:rFonts w:ascii="Arial" w:hAnsi="Arial" w:cs="Arial"/>
          <w:b/>
          <w:bCs/>
        </w:rPr>
        <w:t>Referencias bibliográficas</w:t>
      </w:r>
    </w:p>
    <w:p w14:paraId="113BB665" w14:textId="77777777" w:rsidR="00AF37CB" w:rsidRDefault="00AF37CB" w:rsidP="00AF37CB">
      <w:pPr>
        <w:pStyle w:val="Prrafodelista"/>
        <w:ind w:left="360"/>
        <w:rPr>
          <w:rFonts w:ascii="Arial" w:hAnsi="Arial" w:cs="Arial"/>
          <w:i/>
          <w:iCs/>
        </w:rPr>
      </w:pPr>
    </w:p>
    <w:p w14:paraId="3D5133A8" w14:textId="77777777" w:rsidR="00AF37CB" w:rsidRDefault="00AF37CB" w:rsidP="00AF37CB">
      <w:pPr>
        <w:pStyle w:val="Prrafodelista"/>
        <w:ind w:left="360"/>
        <w:rPr>
          <w:rFonts w:ascii="Arial" w:hAnsi="Arial" w:cs="Arial"/>
        </w:rPr>
      </w:pPr>
      <w:r w:rsidRPr="00AF37CB">
        <w:rPr>
          <w:rFonts w:ascii="Arial" w:hAnsi="Arial" w:cs="Arial"/>
          <w:i/>
          <w:iCs/>
        </w:rPr>
        <w:t>Ley 21 de 1982: Por la cual se modifica el régimen del Subsidio Familiar y se dictan otras disposiciones</w:t>
      </w:r>
      <w:r w:rsidRPr="00AF37CB">
        <w:rPr>
          <w:rFonts w:ascii="Arial" w:hAnsi="Arial" w:cs="Arial"/>
        </w:rPr>
        <w:t>.</w:t>
      </w:r>
    </w:p>
    <w:p w14:paraId="3DEC1C7B" w14:textId="77777777" w:rsidR="00AF37CB" w:rsidRDefault="00AF37CB" w:rsidP="00AF37CB">
      <w:pPr>
        <w:pStyle w:val="Prrafodelista"/>
        <w:ind w:left="360"/>
        <w:rPr>
          <w:rFonts w:ascii="Arial" w:hAnsi="Arial" w:cs="Arial"/>
          <w:i/>
          <w:iCs/>
        </w:rPr>
      </w:pPr>
    </w:p>
    <w:p w14:paraId="72344BD6" w14:textId="77777777" w:rsidR="00AF37CB" w:rsidRDefault="00AF37CB" w:rsidP="00AF37CB">
      <w:pPr>
        <w:pStyle w:val="Prrafodelista"/>
        <w:ind w:left="360"/>
        <w:rPr>
          <w:rFonts w:ascii="Arial" w:hAnsi="Arial" w:cs="Arial"/>
        </w:rPr>
      </w:pPr>
      <w:r>
        <w:rPr>
          <w:rFonts w:ascii="Arial" w:hAnsi="Arial" w:cs="Arial"/>
          <w:i/>
          <w:iCs/>
        </w:rPr>
        <w:t xml:space="preserve">Ley </w:t>
      </w:r>
      <w:r w:rsidRPr="00584D71">
        <w:rPr>
          <w:rFonts w:ascii="Arial" w:hAnsi="Arial" w:cs="Arial"/>
          <w:i/>
          <w:iCs/>
        </w:rPr>
        <w:t>789 de 2002: Por la cual se dictan normas para apoyar el empleo y ampliar la protección social</w:t>
      </w:r>
      <w:r w:rsidRPr="00584D71">
        <w:rPr>
          <w:rFonts w:ascii="Arial" w:hAnsi="Arial" w:cs="Arial"/>
        </w:rPr>
        <w:t>.</w:t>
      </w:r>
    </w:p>
    <w:p w14:paraId="6553735E" w14:textId="77777777" w:rsidR="00AF37CB" w:rsidRDefault="00AF37CB" w:rsidP="00AF37CB">
      <w:pPr>
        <w:pStyle w:val="Prrafodelista"/>
        <w:ind w:left="360"/>
        <w:rPr>
          <w:rFonts w:ascii="Arial" w:hAnsi="Arial" w:cs="Arial"/>
          <w:i/>
          <w:iCs/>
        </w:rPr>
      </w:pPr>
    </w:p>
    <w:p w14:paraId="6866CC7F" w14:textId="5B4E4900" w:rsidR="00AF37CB" w:rsidRPr="00584D71" w:rsidRDefault="00AF37CB" w:rsidP="00AF37CB">
      <w:pPr>
        <w:pStyle w:val="Prrafodelista"/>
        <w:ind w:left="360"/>
        <w:rPr>
          <w:rFonts w:ascii="Arial" w:hAnsi="Arial" w:cs="Arial"/>
        </w:rPr>
      </w:pPr>
      <w:r w:rsidRPr="00584D71">
        <w:rPr>
          <w:rFonts w:ascii="Arial" w:hAnsi="Arial" w:cs="Arial"/>
          <w:i/>
          <w:iCs/>
        </w:rPr>
        <w:t>Departamento Nacional de Planeación. (2018). Guía para la construcción y análisis de indicadores.</w:t>
      </w:r>
    </w:p>
    <w:p w14:paraId="0650E379" w14:textId="77777777" w:rsidR="00AF37CB" w:rsidRPr="00AF37CB" w:rsidRDefault="00AF37CB" w:rsidP="00AF37CB">
      <w:pPr>
        <w:pStyle w:val="Prrafodelista"/>
        <w:ind w:left="360"/>
        <w:rPr>
          <w:rFonts w:ascii="Arial" w:hAnsi="Arial" w:cs="Arial"/>
        </w:rPr>
      </w:pPr>
    </w:p>
    <w:p w14:paraId="36190DD9" w14:textId="77777777" w:rsidR="00BD64ED" w:rsidRDefault="00BD64ED" w:rsidP="00BD64ED">
      <w:pPr>
        <w:pStyle w:val="Prrafodelista"/>
        <w:ind w:left="360"/>
        <w:rPr>
          <w:rFonts w:ascii="Arial" w:hAnsi="Arial" w:cs="Arial"/>
          <w:b/>
          <w:bCs/>
        </w:rPr>
      </w:pPr>
    </w:p>
    <w:p w14:paraId="5FF42903" w14:textId="77777777" w:rsidR="00BD64ED" w:rsidRPr="00BD64ED" w:rsidRDefault="00BD64ED" w:rsidP="00BD64ED">
      <w:pPr>
        <w:pStyle w:val="Prrafodelista"/>
        <w:ind w:left="360"/>
        <w:rPr>
          <w:rFonts w:ascii="Arial" w:hAnsi="Arial" w:cs="Arial"/>
          <w:b/>
          <w:bCs/>
        </w:rPr>
      </w:pPr>
    </w:p>
    <w:p w14:paraId="50B83D25" w14:textId="77777777" w:rsidR="003F249D" w:rsidRDefault="003F249D" w:rsidP="00150BA2">
      <w:pPr>
        <w:pStyle w:val="Prrafodelista"/>
        <w:ind w:left="792"/>
        <w:rPr>
          <w:rFonts w:ascii="Arial" w:hAnsi="Arial" w:cs="Arial"/>
        </w:rPr>
      </w:pPr>
    </w:p>
    <w:p w14:paraId="17F3299C" w14:textId="77777777" w:rsidR="003F249D" w:rsidRPr="00150BA2" w:rsidRDefault="003F249D" w:rsidP="00150BA2">
      <w:pPr>
        <w:pStyle w:val="Prrafodelista"/>
        <w:ind w:left="792"/>
        <w:rPr>
          <w:rFonts w:ascii="Arial" w:hAnsi="Arial" w:cs="Arial"/>
        </w:rPr>
      </w:pPr>
    </w:p>
    <w:p w14:paraId="723B740D" w14:textId="77777777" w:rsidR="00150BA2" w:rsidRDefault="00150BA2" w:rsidP="00150BA2">
      <w:pPr>
        <w:pStyle w:val="Prrafodelista"/>
        <w:ind w:left="792"/>
        <w:rPr>
          <w:rFonts w:ascii="Arial" w:hAnsi="Arial" w:cs="Arial"/>
          <w:b/>
          <w:bCs/>
        </w:rPr>
      </w:pPr>
    </w:p>
    <w:p w14:paraId="450AFFD1" w14:textId="77777777" w:rsidR="00150BA2" w:rsidRPr="00150BA2" w:rsidRDefault="00150BA2" w:rsidP="00150BA2">
      <w:pPr>
        <w:pStyle w:val="Prrafodelista"/>
        <w:ind w:left="792"/>
        <w:rPr>
          <w:rFonts w:ascii="Arial" w:hAnsi="Arial" w:cs="Arial"/>
        </w:rPr>
      </w:pPr>
    </w:p>
    <w:p w14:paraId="3F50AF5F" w14:textId="77777777" w:rsidR="00150BA2" w:rsidRDefault="00150BA2" w:rsidP="00150BA2">
      <w:pPr>
        <w:pStyle w:val="Prrafodelista"/>
        <w:ind w:left="792"/>
        <w:rPr>
          <w:rFonts w:ascii="Arial" w:hAnsi="Arial" w:cs="Arial"/>
          <w:b/>
          <w:bCs/>
        </w:rPr>
      </w:pPr>
    </w:p>
    <w:p w14:paraId="52430D8C" w14:textId="77777777" w:rsidR="00150BA2" w:rsidRPr="00150BA2" w:rsidRDefault="00150BA2" w:rsidP="00150BA2">
      <w:pPr>
        <w:pStyle w:val="Prrafodelista"/>
        <w:ind w:left="792"/>
        <w:rPr>
          <w:rFonts w:ascii="Arial" w:hAnsi="Arial" w:cs="Arial"/>
        </w:rPr>
      </w:pPr>
    </w:p>
    <w:p w14:paraId="03114B97" w14:textId="10D2AACD" w:rsidR="00150BA2" w:rsidRPr="00150BA2" w:rsidRDefault="00150BA2" w:rsidP="00150BA2">
      <w:pPr>
        <w:rPr>
          <w:rFonts w:ascii="Arial" w:hAnsi="Arial" w:cs="Arial"/>
        </w:rPr>
      </w:pPr>
    </w:p>
    <w:p w14:paraId="4EB1BA9D" w14:textId="77777777" w:rsidR="00837F7E" w:rsidRPr="00837F7E" w:rsidRDefault="00837F7E" w:rsidP="00837F7E">
      <w:pPr>
        <w:pStyle w:val="Prrafodelista"/>
        <w:rPr>
          <w:rFonts w:ascii="Arial" w:hAnsi="Arial" w:cs="Arial"/>
          <w:b/>
          <w:bCs/>
        </w:rPr>
      </w:pPr>
    </w:p>
    <w:p w14:paraId="7EF6376A" w14:textId="77777777" w:rsidR="00927FC8" w:rsidRPr="00927FC8" w:rsidRDefault="00927FC8" w:rsidP="00927FC8">
      <w:pPr>
        <w:jc w:val="center"/>
        <w:rPr>
          <w:rFonts w:ascii="Arial" w:hAnsi="Arial" w:cs="Arial"/>
          <w:b/>
          <w:bCs/>
        </w:rPr>
      </w:pPr>
    </w:p>
    <w:sectPr w:rsidR="00927FC8" w:rsidRPr="00927FC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6A7"/>
    <w:multiLevelType w:val="multilevel"/>
    <w:tmpl w:val="CFC65F56"/>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0267BC5"/>
    <w:multiLevelType w:val="hybridMultilevel"/>
    <w:tmpl w:val="BE323E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A40CFC"/>
    <w:multiLevelType w:val="hybridMultilevel"/>
    <w:tmpl w:val="FC62FEDA"/>
    <w:lvl w:ilvl="0" w:tplc="C84EDDA8">
      <w:start w:val="4"/>
      <w:numFmt w:val="bullet"/>
      <w:lvlText w:val=""/>
      <w:lvlJc w:val="left"/>
      <w:pPr>
        <w:ind w:left="1080" w:hanging="360"/>
      </w:pPr>
      <w:rPr>
        <w:rFonts w:ascii="Symbol" w:eastAsiaTheme="minorHAnsi" w:hAnsi="Symbol" w:cs="Arial" w:hint="default"/>
        <w:b/>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268054449">
    <w:abstractNumId w:val="1"/>
  </w:num>
  <w:num w:numId="2" w16cid:durableId="1237403180">
    <w:abstractNumId w:val="0"/>
  </w:num>
  <w:num w:numId="3" w16cid:durableId="1622033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FC8"/>
    <w:rsid w:val="00086312"/>
    <w:rsid w:val="00150BA2"/>
    <w:rsid w:val="002B230A"/>
    <w:rsid w:val="003B34B3"/>
    <w:rsid w:val="003E0253"/>
    <w:rsid w:val="003F249D"/>
    <w:rsid w:val="0046011E"/>
    <w:rsid w:val="005C7545"/>
    <w:rsid w:val="00837F7E"/>
    <w:rsid w:val="00866613"/>
    <w:rsid w:val="00927FC8"/>
    <w:rsid w:val="00A96932"/>
    <w:rsid w:val="00AF37CB"/>
    <w:rsid w:val="00BD64ED"/>
    <w:rsid w:val="00C2055E"/>
    <w:rsid w:val="00C327E8"/>
    <w:rsid w:val="00F45D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2BACF"/>
  <w15:chartTrackingRefBased/>
  <w15:docId w15:val="{5058891D-5646-4973-827D-FF690AA53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27F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27F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27FC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27FC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27FC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27F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27F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27F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27F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7FC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27FC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27FC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27FC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27FC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27F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27F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27F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27FC8"/>
    <w:rPr>
      <w:rFonts w:eastAsiaTheme="majorEastAsia" w:cstheme="majorBidi"/>
      <w:color w:val="272727" w:themeColor="text1" w:themeTint="D8"/>
    </w:rPr>
  </w:style>
  <w:style w:type="paragraph" w:styleId="Ttulo">
    <w:name w:val="Title"/>
    <w:basedOn w:val="Normal"/>
    <w:next w:val="Normal"/>
    <w:link w:val="TtuloCar"/>
    <w:uiPriority w:val="10"/>
    <w:qFormat/>
    <w:rsid w:val="00927F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27F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27F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27F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27FC8"/>
    <w:pPr>
      <w:spacing w:before="160"/>
      <w:jc w:val="center"/>
    </w:pPr>
    <w:rPr>
      <w:i/>
      <w:iCs/>
      <w:color w:val="404040" w:themeColor="text1" w:themeTint="BF"/>
    </w:rPr>
  </w:style>
  <w:style w:type="character" w:customStyle="1" w:styleId="CitaCar">
    <w:name w:val="Cita Car"/>
    <w:basedOn w:val="Fuentedeprrafopredeter"/>
    <w:link w:val="Cita"/>
    <w:uiPriority w:val="29"/>
    <w:rsid w:val="00927FC8"/>
    <w:rPr>
      <w:i/>
      <w:iCs/>
      <w:color w:val="404040" w:themeColor="text1" w:themeTint="BF"/>
    </w:rPr>
  </w:style>
  <w:style w:type="paragraph" w:styleId="Prrafodelista">
    <w:name w:val="List Paragraph"/>
    <w:basedOn w:val="Normal"/>
    <w:uiPriority w:val="34"/>
    <w:qFormat/>
    <w:rsid w:val="00927FC8"/>
    <w:pPr>
      <w:ind w:left="720"/>
      <w:contextualSpacing/>
    </w:pPr>
  </w:style>
  <w:style w:type="character" w:styleId="nfasisintenso">
    <w:name w:val="Intense Emphasis"/>
    <w:basedOn w:val="Fuentedeprrafopredeter"/>
    <w:uiPriority w:val="21"/>
    <w:qFormat/>
    <w:rsid w:val="00927FC8"/>
    <w:rPr>
      <w:i/>
      <w:iCs/>
      <w:color w:val="2F5496" w:themeColor="accent1" w:themeShade="BF"/>
    </w:rPr>
  </w:style>
  <w:style w:type="paragraph" w:styleId="Citadestacada">
    <w:name w:val="Intense Quote"/>
    <w:basedOn w:val="Normal"/>
    <w:next w:val="Normal"/>
    <w:link w:val="CitadestacadaCar"/>
    <w:uiPriority w:val="30"/>
    <w:qFormat/>
    <w:rsid w:val="00927F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27FC8"/>
    <w:rPr>
      <w:i/>
      <w:iCs/>
      <w:color w:val="2F5496" w:themeColor="accent1" w:themeShade="BF"/>
    </w:rPr>
  </w:style>
  <w:style w:type="character" w:styleId="Referenciaintensa">
    <w:name w:val="Intense Reference"/>
    <w:basedOn w:val="Fuentedeprrafopredeter"/>
    <w:uiPriority w:val="32"/>
    <w:qFormat/>
    <w:rsid w:val="00927F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816F5376A896F4EA0E5FBE48F22CD69" ma:contentTypeVersion="15" ma:contentTypeDescription="Crear nuevo documento." ma:contentTypeScope="" ma:versionID="30d5307406f2a726fc28a1fd8aefedde">
  <xsd:schema xmlns:xsd="http://www.w3.org/2001/XMLSchema" xmlns:xs="http://www.w3.org/2001/XMLSchema" xmlns:p="http://schemas.microsoft.com/office/2006/metadata/properties" xmlns:ns2="a22fc180-de48-4a46-9ce7-777d7cabf0cd" xmlns:ns3="5c4714ae-99d1-4ef4-924e-0052ad2f9f10" targetNamespace="http://schemas.microsoft.com/office/2006/metadata/properties" ma:root="true" ma:fieldsID="2bc1283963993dfb538a8eb210c38d71" ns2:_="" ns3:_="">
    <xsd:import namespace="a22fc180-de48-4a46-9ce7-777d7cabf0cd"/>
    <xsd:import namespace="5c4714ae-99d1-4ef4-924e-0052ad2f9f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BillingMetadata" minOccurs="0"/>
                <xsd:element ref="ns2:J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fc180-de48-4a46-9ce7-777d7cabf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JP" ma:index="22" nillable="true" ma:displayName="JP" ma:format="DateOnly" ma:internalName="JP">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c4714ae-99d1-4ef4-924e-0052ad2f9f1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09f703f-2ed5-4d3e-a670-202f96bd9eaa}" ma:internalName="TaxCatchAll" ma:showField="CatchAllData" ma:web="5c4714ae-99d1-4ef4-924e-0052ad2f9f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P xmlns="a22fc180-de48-4a46-9ce7-777d7cabf0cd" xsi:nil="true"/>
    <lcf76f155ced4ddcb4097134ff3c332f xmlns="a22fc180-de48-4a46-9ce7-777d7cabf0cd">
      <Terms xmlns="http://schemas.microsoft.com/office/infopath/2007/PartnerControls"/>
    </lcf76f155ced4ddcb4097134ff3c332f>
    <TaxCatchAll xmlns="5c4714ae-99d1-4ef4-924e-0052ad2f9f10" xsi:nil="true"/>
  </documentManagement>
</p:properties>
</file>

<file path=customXml/itemProps1.xml><?xml version="1.0" encoding="utf-8"?>
<ds:datastoreItem xmlns:ds="http://schemas.openxmlformats.org/officeDocument/2006/customXml" ds:itemID="{5D66C98E-AA99-49E7-A98E-B79EF20160B8}"/>
</file>

<file path=customXml/itemProps2.xml><?xml version="1.0" encoding="utf-8"?>
<ds:datastoreItem xmlns:ds="http://schemas.openxmlformats.org/officeDocument/2006/customXml" ds:itemID="{18FF609C-DBF3-4D5B-A345-01098FB10E2C}"/>
</file>

<file path=customXml/itemProps3.xml><?xml version="1.0" encoding="utf-8"?>
<ds:datastoreItem xmlns:ds="http://schemas.openxmlformats.org/officeDocument/2006/customXml" ds:itemID="{FACD1A76-72C8-4903-8071-06A44BA4566B}"/>
</file>

<file path=docProps/app.xml><?xml version="1.0" encoding="utf-8"?>
<Properties xmlns="http://schemas.openxmlformats.org/officeDocument/2006/extended-properties" xmlns:vt="http://schemas.openxmlformats.org/officeDocument/2006/docPropsVTypes">
  <Template>Normal</Template>
  <TotalTime>146</TotalTime>
  <Pages>5</Pages>
  <Words>1376</Words>
  <Characters>7570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Osorio</dc:creator>
  <cp:keywords/>
  <dc:description/>
  <cp:lastModifiedBy>Angela Osorio</cp:lastModifiedBy>
  <cp:revision>2</cp:revision>
  <dcterms:created xsi:type="dcterms:W3CDTF">2026-03-16T23:07:00Z</dcterms:created>
  <dcterms:modified xsi:type="dcterms:W3CDTF">2026-03-17T19:41:00Z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0x010100F816F5376A896F4EA0E5FBE48F22CD69</vt:lpwstr>
  </property>
</Properties>
</file>